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B3" w:rsidRDefault="000C328C">
      <w:pPr>
        <w:adjustRightInd w:val="0"/>
        <w:snapToGrid w:val="0"/>
        <w:spacing w:line="560" w:lineRule="exac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附件</w:t>
      </w:r>
      <w:r>
        <w:rPr>
          <w:rFonts w:asciiTheme="majorEastAsia" w:eastAsiaTheme="majorEastAsia" w:hAnsiTheme="majorEastAsia" w:cstheme="majorEastAsia" w:hint="eastAsia"/>
          <w:sz w:val="32"/>
          <w:szCs w:val="32"/>
        </w:rPr>
        <w:t>2</w:t>
      </w:r>
    </w:p>
    <w:p w:rsidR="00511AB3" w:rsidRDefault="000C328C">
      <w:pPr>
        <w:adjustRightInd w:val="0"/>
        <w:snapToGrid w:val="0"/>
        <w:spacing w:line="360" w:lineRule="auto"/>
        <w:ind w:firstLineChars="200"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w:t>
      </w:r>
      <w:r>
        <w:rPr>
          <w:rFonts w:ascii="方正小标宋简体" w:eastAsia="方正小标宋简体" w:hAnsi="方正小标宋简体" w:cs="方正小标宋简体" w:hint="eastAsia"/>
          <w:sz w:val="36"/>
          <w:szCs w:val="36"/>
        </w:rPr>
        <w:t>年度绩效目标与重点工作考核细则</w:t>
      </w:r>
    </w:p>
    <w:p w:rsidR="00511AB3" w:rsidRDefault="00511AB3">
      <w:pPr>
        <w:adjustRightInd w:val="0"/>
        <w:snapToGrid w:val="0"/>
        <w:spacing w:line="360" w:lineRule="auto"/>
        <w:ind w:firstLineChars="200" w:firstLine="600"/>
        <w:rPr>
          <w:rFonts w:ascii="仿宋" w:eastAsia="仿宋" w:hAnsi="仿宋" w:cs="仿宋"/>
          <w:sz w:val="30"/>
          <w:szCs w:val="30"/>
        </w:rPr>
      </w:pPr>
    </w:p>
    <w:p w:rsidR="00511AB3" w:rsidRDefault="000C328C">
      <w:pPr>
        <w:adjustRightInd w:val="0"/>
        <w:snapToGrid w:val="0"/>
        <w:spacing w:line="360" w:lineRule="auto"/>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一、《部门（单位）年度考核办法》（苏海院委〔</w:t>
      </w:r>
      <w:r>
        <w:rPr>
          <w:rFonts w:ascii="方正黑体_GBK" w:eastAsia="方正黑体_GBK" w:hAnsi="方正黑体_GBK" w:cs="方正黑体_GBK" w:hint="eastAsia"/>
          <w:sz w:val="30"/>
          <w:szCs w:val="30"/>
        </w:rPr>
        <w:t>2021</w:t>
      </w:r>
      <w:r>
        <w:rPr>
          <w:rFonts w:ascii="方正黑体_GBK" w:eastAsia="方正黑体_GBK" w:hAnsi="方正黑体_GBK" w:cs="方正黑体_GBK" w:hint="eastAsia"/>
          <w:sz w:val="30"/>
          <w:szCs w:val="30"/>
        </w:rPr>
        <w:t>〕</w:t>
      </w:r>
      <w:r>
        <w:rPr>
          <w:rFonts w:ascii="方正黑体_GBK" w:eastAsia="方正黑体_GBK" w:hAnsi="方正黑体_GBK" w:cs="方正黑体_GBK" w:hint="eastAsia"/>
          <w:sz w:val="30"/>
          <w:szCs w:val="30"/>
        </w:rPr>
        <w:t>21</w:t>
      </w:r>
      <w:r>
        <w:rPr>
          <w:rFonts w:ascii="方正黑体_GBK" w:eastAsia="方正黑体_GBK" w:hAnsi="方正黑体_GBK" w:cs="方正黑体_GBK" w:hint="eastAsia"/>
          <w:sz w:val="30"/>
          <w:szCs w:val="30"/>
        </w:rPr>
        <w:t>号）附件</w:t>
      </w:r>
      <w:r>
        <w:rPr>
          <w:rFonts w:ascii="方正黑体_GBK" w:eastAsia="方正黑体_GBK" w:hAnsi="方正黑体_GBK" w:cs="方正黑体_GBK" w:hint="eastAsia"/>
          <w:sz w:val="30"/>
          <w:szCs w:val="30"/>
        </w:rPr>
        <w:t>2</w:t>
      </w:r>
      <w:r>
        <w:rPr>
          <w:rFonts w:ascii="方正黑体_GBK" w:eastAsia="方正黑体_GBK" w:hAnsi="方正黑体_GBK" w:cs="方正黑体_GBK" w:hint="eastAsia"/>
          <w:sz w:val="30"/>
          <w:szCs w:val="30"/>
        </w:rPr>
        <w:t>规定：</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高质量发展成效考核主要考核各单位、各部门的绩效目标达成和重点工作完成情况。</w:t>
      </w:r>
    </w:p>
    <w:p w:rsidR="00511AB3" w:rsidRDefault="000C328C">
      <w:pPr>
        <w:adjustRightInd w:val="0"/>
        <w:snapToGrid w:val="0"/>
        <w:spacing w:line="360" w:lineRule="auto"/>
        <w:ind w:firstLineChars="200" w:firstLine="600"/>
        <w:rPr>
          <w:rFonts w:ascii="方正楷体_GB2312" w:eastAsia="方正楷体_GB2312" w:hAnsi="方正楷体_GB2312" w:cs="方正楷体_GB2312"/>
          <w:b/>
          <w:bCs/>
          <w:sz w:val="30"/>
          <w:szCs w:val="30"/>
        </w:rPr>
      </w:pPr>
      <w:r>
        <w:rPr>
          <w:rFonts w:ascii="方正楷体_GB2312" w:eastAsia="方正楷体_GB2312" w:hAnsi="方正楷体_GB2312" w:cs="方正楷体_GB2312" w:hint="eastAsia"/>
          <w:sz w:val="30"/>
          <w:szCs w:val="30"/>
        </w:rPr>
        <w:t>（一）绩效目标</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界定。主要包括已列入学校贯彻落实第三次党代会精神实施方案、“双高计划”建设方案、省高水平高职院校建设方案、提</w:t>
      </w:r>
      <w:proofErr w:type="gramStart"/>
      <w:r>
        <w:rPr>
          <w:rFonts w:ascii="方正仿宋_GB2312" w:eastAsia="方正仿宋_GB2312" w:hAnsi="方正仿宋_GB2312" w:cs="方正仿宋_GB2312" w:hint="eastAsia"/>
          <w:sz w:val="30"/>
          <w:szCs w:val="30"/>
        </w:rPr>
        <w:t>质培优行动</w:t>
      </w:r>
      <w:proofErr w:type="gramEnd"/>
      <w:r>
        <w:rPr>
          <w:rFonts w:ascii="方正仿宋_GB2312" w:eastAsia="方正仿宋_GB2312" w:hAnsi="方正仿宋_GB2312" w:cs="方正仿宋_GB2312" w:hint="eastAsia"/>
          <w:sz w:val="30"/>
          <w:szCs w:val="30"/>
        </w:rPr>
        <w:t>计划，以及《江苏省地方普通高职院校（高水平高职院校）综合考核指标》《江苏省教育厅年度工作要点》等中引领性、非自测、易量化、可查证、能比较的核心指标以及其他省（部）级以上重大项目、重要荣誉等标志性成果。</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设定。绩效目标分为基本绩效目标和特别绩效目标。基本绩效目标指部门单位必须完成的目标，将根据部门单位工作职责、适当兼顾部门单位之间相对平衡而设定，纳入年度考核计分体系。特别绩效目标是为了</w:t>
      </w:r>
      <w:r>
        <w:rPr>
          <w:rFonts w:ascii="方正仿宋_GB2312" w:eastAsia="方正仿宋_GB2312" w:hAnsi="方正仿宋_GB2312" w:cs="方正仿宋_GB2312" w:hint="eastAsia"/>
          <w:sz w:val="30"/>
          <w:szCs w:val="30"/>
        </w:rPr>
        <w:t>鼓励攻坚克难、争先创优、进一步提高绩效</w:t>
      </w:r>
      <w:r>
        <w:rPr>
          <w:rFonts w:ascii="方正仿宋_GB2312" w:eastAsia="方正仿宋_GB2312" w:hAnsi="方正仿宋_GB2312" w:cs="方正仿宋_GB2312" w:hint="eastAsia"/>
          <w:sz w:val="30"/>
          <w:szCs w:val="30"/>
        </w:rPr>
        <w:lastRenderedPageBreak/>
        <w:t>目标的层次与增量，面向职能部门设定的，与基本绩效目标同步考核，但不纳入年度考核计分体系，另外给予特别激励。特别绩效目标除年初设置外，将根据国家、省里相关项目、荣誉实际开展情况，适时设置。</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基本绩效目标赋分。（</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）基本绩效目标实行百分制，根据目标完成情况予以核定分数；（</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）同类型的项目，等级指标和数量指标均可按等次比例予以递减赋分，其中，二等奖的</w:t>
      </w:r>
      <w:proofErr w:type="gramStart"/>
      <w:r>
        <w:rPr>
          <w:rFonts w:ascii="方正仿宋_GB2312" w:eastAsia="方正仿宋_GB2312" w:hAnsi="方正仿宋_GB2312" w:cs="方正仿宋_GB2312" w:hint="eastAsia"/>
          <w:sz w:val="30"/>
          <w:szCs w:val="30"/>
        </w:rPr>
        <w:t>赋分为</w:t>
      </w:r>
      <w:proofErr w:type="gramEnd"/>
      <w:r>
        <w:rPr>
          <w:rFonts w:ascii="方正仿宋_GB2312" w:eastAsia="方正仿宋_GB2312" w:hAnsi="方正仿宋_GB2312" w:cs="方正仿宋_GB2312" w:hint="eastAsia"/>
          <w:sz w:val="30"/>
          <w:szCs w:val="30"/>
        </w:rPr>
        <w:t>一等奖的</w:t>
      </w:r>
      <w:r>
        <w:rPr>
          <w:rFonts w:ascii="方正仿宋_GB2312" w:eastAsia="方正仿宋_GB2312" w:hAnsi="方正仿宋_GB2312" w:cs="方正仿宋_GB2312" w:hint="eastAsia"/>
          <w:sz w:val="30"/>
          <w:szCs w:val="30"/>
        </w:rPr>
        <w:t>60%</w:t>
      </w:r>
      <w:r>
        <w:rPr>
          <w:rFonts w:ascii="方正仿宋_GB2312" w:eastAsia="方正仿宋_GB2312" w:hAnsi="方正仿宋_GB2312" w:cs="方正仿宋_GB2312" w:hint="eastAsia"/>
          <w:sz w:val="30"/>
          <w:szCs w:val="30"/>
        </w:rPr>
        <w:t>，三等奖为一等奖的</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rPr>
        <w:t>，优秀奖为一等奖的</w:t>
      </w:r>
      <w:r>
        <w:rPr>
          <w:rFonts w:ascii="方正仿宋_GB2312" w:eastAsia="方正仿宋_GB2312" w:hAnsi="方正仿宋_GB2312" w:cs="方正仿宋_GB2312" w:hint="eastAsia"/>
          <w:sz w:val="30"/>
          <w:szCs w:val="30"/>
        </w:rPr>
        <w:t>10%</w:t>
      </w:r>
      <w:r>
        <w:rPr>
          <w:rFonts w:ascii="方正仿宋_GB2312" w:eastAsia="方正仿宋_GB2312" w:hAnsi="方正仿宋_GB2312" w:cs="方正仿宋_GB2312" w:hint="eastAsia"/>
          <w:sz w:val="30"/>
          <w:szCs w:val="30"/>
        </w:rPr>
        <w:t>；高于既定目标的不予加分，低于既定等级目标的数量指标</w:t>
      </w:r>
      <w:proofErr w:type="gramStart"/>
      <w:r>
        <w:rPr>
          <w:rFonts w:ascii="方正仿宋_GB2312" w:eastAsia="方正仿宋_GB2312" w:hAnsi="方正仿宋_GB2312" w:cs="方正仿宋_GB2312" w:hint="eastAsia"/>
          <w:sz w:val="30"/>
          <w:szCs w:val="30"/>
        </w:rPr>
        <w:t>不</w:t>
      </w:r>
      <w:proofErr w:type="gramEnd"/>
      <w:r>
        <w:rPr>
          <w:rFonts w:ascii="方正仿宋_GB2312" w:eastAsia="方正仿宋_GB2312" w:hAnsi="方正仿宋_GB2312" w:cs="方正仿宋_GB2312" w:hint="eastAsia"/>
          <w:sz w:val="30"/>
          <w:szCs w:val="30"/>
        </w:rPr>
        <w:t>累</w:t>
      </w:r>
      <w:r>
        <w:rPr>
          <w:rFonts w:ascii="方正仿宋_GB2312" w:eastAsia="方正仿宋_GB2312" w:hAnsi="方正仿宋_GB2312" w:cs="方正仿宋_GB2312" w:hint="eastAsia"/>
          <w:sz w:val="30"/>
          <w:szCs w:val="30"/>
        </w:rPr>
        <w:t>计；（</w:t>
      </w: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原则上同等级、同业务、不同类型的项目（如教学业务的国家级学生技能大赛与国家级教师教学能力大赛可替换，如师资业务的省级教学创新团队与省级科技创新团队可替换，如教学业务的省级学生技能大赛与师资业务的省级技能大师不可替换），可由相关部门单位提出申请，经考核办研究，予以替换并认定。</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特别绩效目标激励。（</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）特别绩效目标激励标准为每项</w:t>
      </w:r>
      <w:r>
        <w:rPr>
          <w:rFonts w:ascii="方正仿宋_GB2312" w:eastAsia="方正仿宋_GB2312" w:hAnsi="方正仿宋_GB2312" w:cs="方正仿宋_GB2312" w:hint="eastAsia"/>
          <w:sz w:val="30"/>
          <w:szCs w:val="30"/>
        </w:rPr>
        <w:t>20</w:t>
      </w:r>
      <w:r>
        <w:rPr>
          <w:rFonts w:ascii="方正仿宋_GB2312" w:eastAsia="方正仿宋_GB2312" w:hAnsi="方正仿宋_GB2312" w:cs="方正仿宋_GB2312" w:hint="eastAsia"/>
          <w:sz w:val="30"/>
          <w:szCs w:val="30"/>
        </w:rPr>
        <w:t>万元；（</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）特别绩效激励主要给予目标承接单位负责人和主要参与人员（原则上不超过</w:t>
      </w: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人），激励发放方式采取过程发放与结果发放相结合。</w:t>
      </w:r>
      <w:proofErr w:type="gramStart"/>
      <w:r>
        <w:rPr>
          <w:rFonts w:ascii="方正仿宋_GB2312" w:eastAsia="方正仿宋_GB2312" w:hAnsi="方正仿宋_GB2312" w:cs="方正仿宋_GB2312" w:hint="eastAsia"/>
          <w:sz w:val="30"/>
          <w:szCs w:val="30"/>
        </w:rPr>
        <w:t>随过程</w:t>
      </w:r>
      <w:proofErr w:type="gramEnd"/>
      <w:r>
        <w:rPr>
          <w:rFonts w:ascii="方正仿宋_GB2312" w:eastAsia="方正仿宋_GB2312" w:hAnsi="方正仿宋_GB2312" w:cs="方正仿宋_GB2312" w:hint="eastAsia"/>
          <w:sz w:val="30"/>
          <w:szCs w:val="30"/>
        </w:rPr>
        <w:t>发放部分按照每个承接单位不超过</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lastRenderedPageBreak/>
        <w:t>项</w:t>
      </w:r>
      <w:r>
        <w:rPr>
          <w:rFonts w:ascii="方正仿宋_GB2312" w:eastAsia="方正仿宋_GB2312" w:hAnsi="方正仿宋_GB2312" w:cs="方正仿宋_GB2312" w:hint="eastAsia"/>
          <w:sz w:val="30"/>
          <w:szCs w:val="30"/>
        </w:rPr>
        <w:t>激励预算金额的</w:t>
      </w:r>
      <w:r>
        <w:rPr>
          <w:rFonts w:ascii="方正仿宋_GB2312" w:eastAsia="方正仿宋_GB2312" w:hAnsi="方正仿宋_GB2312" w:cs="方正仿宋_GB2312" w:hint="eastAsia"/>
          <w:sz w:val="30"/>
          <w:szCs w:val="30"/>
        </w:rPr>
        <w:t>50%</w:t>
      </w:r>
      <w:r>
        <w:rPr>
          <w:rFonts w:ascii="方正仿宋_GB2312" w:eastAsia="方正仿宋_GB2312" w:hAnsi="方正仿宋_GB2312" w:cs="方正仿宋_GB2312" w:hint="eastAsia"/>
          <w:sz w:val="30"/>
          <w:szCs w:val="30"/>
        </w:rPr>
        <w:t>发放，剩余部分根据特别绩效目标完成情况发放。绩效目标有明确目标结果的，结果不成功，剩余部分不发放，并返回</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项激励预算金额的</w:t>
      </w:r>
      <w:r>
        <w:rPr>
          <w:rFonts w:ascii="方正仿宋_GB2312" w:eastAsia="方正仿宋_GB2312" w:hAnsi="方正仿宋_GB2312" w:cs="方正仿宋_GB2312" w:hint="eastAsia"/>
          <w:sz w:val="30"/>
          <w:szCs w:val="30"/>
        </w:rPr>
        <w:t>20%</w:t>
      </w:r>
      <w:r>
        <w:rPr>
          <w:rFonts w:ascii="方正仿宋_GB2312" w:eastAsia="方正仿宋_GB2312" w:hAnsi="方正仿宋_GB2312" w:cs="方正仿宋_GB2312" w:hint="eastAsia"/>
          <w:sz w:val="30"/>
          <w:szCs w:val="30"/>
        </w:rPr>
        <w:t>。</w:t>
      </w:r>
    </w:p>
    <w:p w:rsidR="00511AB3" w:rsidRDefault="000C328C">
      <w:pPr>
        <w:adjustRightInd w:val="0"/>
        <w:snapToGrid w:val="0"/>
        <w:spacing w:line="360" w:lineRule="auto"/>
        <w:ind w:firstLineChars="200" w:firstLine="600"/>
        <w:rPr>
          <w:rFonts w:ascii="方正楷体_GB2312" w:eastAsia="方正楷体_GB2312" w:hAnsi="方正楷体_GB2312" w:cs="方正楷体_GB2312"/>
          <w:sz w:val="30"/>
          <w:szCs w:val="30"/>
        </w:rPr>
      </w:pPr>
      <w:r>
        <w:rPr>
          <w:rFonts w:ascii="方正楷体_GB2312" w:eastAsia="方正楷体_GB2312" w:hAnsi="方正楷体_GB2312" w:cs="方正楷体_GB2312" w:hint="eastAsia"/>
          <w:sz w:val="30"/>
          <w:szCs w:val="30"/>
        </w:rPr>
        <w:t>（二）重点工作</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界定：主要包括已列入学校《贯彻落实学校第三次党代会精神实施方案》、“双高计划”建设方案、江苏省高水平高职院校建设方案，以及《江苏省地方普通高职院校（高水平高职院校）综合考核指标》、江苏省教育厅年度工作要点中的主要建设任务与重要工作，以及为推动学校事业高质量发展必须实施的其他重大改革、重大项目、重点工程和其他方面的重要工作等。</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设定：采取自下而上与自上而下相结合的方式设定，纳入年度考核计分体系。</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赋分：重点工作实行百分制，根据任务完成情况予以核定分数。</w:t>
      </w:r>
    </w:p>
    <w:p w:rsidR="00511AB3" w:rsidRDefault="000C328C">
      <w:pPr>
        <w:adjustRightInd w:val="0"/>
        <w:snapToGrid w:val="0"/>
        <w:spacing w:line="360" w:lineRule="auto"/>
        <w:ind w:firstLineChars="200" w:firstLine="600"/>
        <w:rPr>
          <w:rFonts w:ascii="方正楷体_GB2312" w:eastAsia="方正楷体_GB2312" w:hAnsi="方正楷体_GB2312" w:cs="方正楷体_GB2312"/>
          <w:sz w:val="30"/>
          <w:szCs w:val="30"/>
        </w:rPr>
      </w:pPr>
      <w:r>
        <w:rPr>
          <w:rFonts w:ascii="方正楷体_GB2312" w:eastAsia="方正楷体_GB2312" w:hAnsi="方正楷体_GB2312" w:cs="方正楷体_GB2312" w:hint="eastAsia"/>
          <w:sz w:val="30"/>
          <w:szCs w:val="30"/>
        </w:rPr>
        <w:t>（三）考核程序</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分四类进行考核。具体日常监控、检查与考核程序如下：</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发展规划与质量管理处在</w:t>
      </w: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月前发布本</w:t>
      </w:r>
      <w:r>
        <w:rPr>
          <w:rFonts w:ascii="方正仿宋_GB2312" w:eastAsia="方正仿宋_GB2312" w:hAnsi="方正仿宋_GB2312" w:cs="方正仿宋_GB2312" w:hint="eastAsia"/>
          <w:sz w:val="30"/>
          <w:szCs w:val="30"/>
        </w:rPr>
        <w:t>年度绩效目标与重点工作实施计划</w:t>
      </w:r>
      <w:r>
        <w:rPr>
          <w:rFonts w:ascii="方正仿宋_GB2312" w:eastAsia="方正仿宋_GB2312" w:hAnsi="方正仿宋_GB2312" w:cs="方正仿宋_GB2312" w:hint="eastAsia"/>
          <w:sz w:val="30"/>
          <w:szCs w:val="30"/>
        </w:rPr>
        <w:t>。</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lastRenderedPageBreak/>
        <w:t>2.</w:t>
      </w:r>
      <w:r>
        <w:rPr>
          <w:rFonts w:ascii="方正仿宋_GB2312" w:eastAsia="方正仿宋_GB2312" w:hAnsi="方正仿宋_GB2312" w:cs="方正仿宋_GB2312" w:hint="eastAsia"/>
          <w:sz w:val="30"/>
          <w:szCs w:val="30"/>
        </w:rPr>
        <w:t>监控与督查。采用日常考核方式监控督查。</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评价与赋分。由考核办组织发展规划与质量管理处及其他相关部门根据相关支撑材料予以赋分</w:t>
      </w:r>
      <w:r>
        <w:rPr>
          <w:rFonts w:ascii="方正仿宋_GB2312" w:eastAsia="方正仿宋_GB2312" w:hAnsi="方正仿宋_GB2312" w:cs="方正仿宋_GB2312" w:hint="eastAsia"/>
          <w:sz w:val="30"/>
          <w:szCs w:val="30"/>
        </w:rPr>
        <w:t>。</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4.</w:t>
      </w:r>
      <w:r>
        <w:rPr>
          <w:rFonts w:ascii="方正仿宋_GB2312" w:eastAsia="方正仿宋_GB2312" w:hAnsi="方正仿宋_GB2312" w:cs="方正仿宋_GB2312" w:hint="eastAsia"/>
          <w:sz w:val="30"/>
          <w:szCs w:val="30"/>
        </w:rPr>
        <w:t>审议与公示。绩效目标与重点工作考核组对</w:t>
      </w:r>
      <w:proofErr w:type="gramStart"/>
      <w:r>
        <w:rPr>
          <w:rFonts w:ascii="方正仿宋_GB2312" w:eastAsia="方正仿宋_GB2312" w:hAnsi="方正仿宋_GB2312" w:cs="方正仿宋_GB2312" w:hint="eastAsia"/>
          <w:sz w:val="30"/>
          <w:szCs w:val="30"/>
        </w:rPr>
        <w:t>上述赋分进行</w:t>
      </w:r>
      <w:proofErr w:type="gramEnd"/>
      <w:r>
        <w:rPr>
          <w:rFonts w:ascii="方正仿宋_GB2312" w:eastAsia="方正仿宋_GB2312" w:hAnsi="方正仿宋_GB2312" w:cs="方正仿宋_GB2312" w:hint="eastAsia"/>
          <w:sz w:val="30"/>
          <w:szCs w:val="30"/>
        </w:rPr>
        <w:t>汇总，提出各单位绩效目标、重点工作年度考核结果建议，经学校考核工作领导小组审议后公示，并接受相关部门单位的异议和答辩。</w:t>
      </w:r>
    </w:p>
    <w:p w:rsidR="00511AB3" w:rsidRDefault="000C328C">
      <w:pPr>
        <w:adjustRightInd w:val="0"/>
        <w:snapToGrid w:val="0"/>
        <w:spacing w:line="360" w:lineRule="auto"/>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二、</w:t>
      </w:r>
      <w:r>
        <w:rPr>
          <w:rFonts w:ascii="方正黑体_GBK" w:eastAsia="方正黑体_GBK" w:hAnsi="方正黑体_GBK" w:cs="方正黑体_GBK" w:hint="eastAsia"/>
          <w:sz w:val="30"/>
          <w:szCs w:val="30"/>
        </w:rPr>
        <w:t>2021</w:t>
      </w:r>
      <w:r>
        <w:rPr>
          <w:rFonts w:ascii="方正黑体_GBK" w:eastAsia="方正黑体_GBK" w:hAnsi="方正黑体_GBK" w:cs="方正黑体_GBK" w:hint="eastAsia"/>
          <w:sz w:val="30"/>
          <w:szCs w:val="30"/>
        </w:rPr>
        <w:t>年度考核领导小组会议增加</w:t>
      </w:r>
      <w:proofErr w:type="gramStart"/>
      <w:r>
        <w:rPr>
          <w:rFonts w:ascii="方正黑体_GBK" w:eastAsia="方正黑体_GBK" w:hAnsi="方正黑体_GBK" w:cs="方正黑体_GBK" w:hint="eastAsia"/>
          <w:sz w:val="30"/>
          <w:szCs w:val="30"/>
        </w:rPr>
        <w:t>3</w:t>
      </w:r>
      <w:r>
        <w:rPr>
          <w:rFonts w:ascii="方正黑体_GBK" w:eastAsia="方正黑体_GBK" w:hAnsi="方正黑体_GBK" w:cs="方正黑体_GBK" w:hint="eastAsia"/>
          <w:sz w:val="30"/>
          <w:szCs w:val="30"/>
        </w:rPr>
        <w:t>条赋分补充</w:t>
      </w:r>
      <w:proofErr w:type="gramEnd"/>
      <w:r>
        <w:rPr>
          <w:rFonts w:ascii="方正黑体_GBK" w:eastAsia="方正黑体_GBK" w:hAnsi="方正黑体_GBK" w:cs="方正黑体_GBK" w:hint="eastAsia"/>
          <w:sz w:val="30"/>
          <w:szCs w:val="30"/>
        </w:rPr>
        <w:t>说明：</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1. </w:t>
      </w:r>
      <w:r>
        <w:rPr>
          <w:rFonts w:ascii="方正仿宋_GB2312" w:eastAsia="方正仿宋_GB2312" w:hAnsi="方正仿宋_GB2312" w:cs="方正仿宋_GB2312" w:hint="eastAsia"/>
          <w:sz w:val="30"/>
          <w:szCs w:val="30"/>
        </w:rPr>
        <w:t>国家（省）未遴选，本指标只有</w:t>
      </w:r>
      <w:r>
        <w:rPr>
          <w:rFonts w:ascii="方正仿宋_GB2312" w:eastAsia="方正仿宋_GB2312" w:hAnsi="方正仿宋_GB2312" w:cs="方正仿宋_GB2312" w:hint="eastAsia"/>
          <w:sz w:val="30"/>
          <w:szCs w:val="30"/>
        </w:rPr>
        <w:t>1</w:t>
      </w:r>
      <w:r>
        <w:rPr>
          <w:rFonts w:ascii="方正仿宋_GB2312" w:eastAsia="方正仿宋_GB2312" w:hAnsi="方正仿宋_GB2312" w:cs="方正仿宋_GB2312" w:hint="eastAsia"/>
          <w:sz w:val="30"/>
          <w:szCs w:val="30"/>
        </w:rPr>
        <w:t>个或</w:t>
      </w:r>
      <w:r>
        <w:rPr>
          <w:rFonts w:ascii="方正仿宋_GB2312" w:eastAsia="方正仿宋_GB2312" w:hAnsi="方正仿宋_GB2312" w:cs="方正仿宋_GB2312" w:hint="eastAsia"/>
          <w:sz w:val="30"/>
          <w:szCs w:val="30"/>
        </w:rPr>
        <w:t>2</w:t>
      </w:r>
      <w:r>
        <w:rPr>
          <w:rFonts w:ascii="方正仿宋_GB2312" w:eastAsia="方正仿宋_GB2312" w:hAnsi="方正仿宋_GB2312" w:cs="方正仿宋_GB2312" w:hint="eastAsia"/>
          <w:sz w:val="30"/>
          <w:szCs w:val="30"/>
        </w:rPr>
        <w:t>个考核点的，将未遴选考核点分值分解到本类别其他指标；有</w:t>
      </w:r>
      <w:r>
        <w:rPr>
          <w:rFonts w:ascii="方正仿宋_GB2312" w:eastAsia="方正仿宋_GB2312" w:hAnsi="方正仿宋_GB2312" w:cs="方正仿宋_GB2312" w:hint="eastAsia"/>
          <w:sz w:val="30"/>
          <w:szCs w:val="30"/>
        </w:rPr>
        <w:t>3</w:t>
      </w:r>
      <w:r>
        <w:rPr>
          <w:rFonts w:ascii="方正仿宋_GB2312" w:eastAsia="方正仿宋_GB2312" w:hAnsi="方正仿宋_GB2312" w:cs="方正仿宋_GB2312" w:hint="eastAsia"/>
          <w:sz w:val="30"/>
          <w:szCs w:val="30"/>
        </w:rPr>
        <w:t>个及以上考核点的，将未遴选考核点分解到本指标其他考核点；</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2. </w:t>
      </w:r>
      <w:r>
        <w:rPr>
          <w:rFonts w:ascii="方正仿宋_GB2312" w:eastAsia="方正仿宋_GB2312" w:hAnsi="方正仿宋_GB2312" w:cs="方正仿宋_GB2312" w:hint="eastAsia"/>
          <w:sz w:val="30"/>
          <w:szCs w:val="30"/>
        </w:rPr>
        <w:t>国家（省）已遴选只有入选和未入选两个</w:t>
      </w:r>
      <w:r>
        <w:rPr>
          <w:rFonts w:ascii="方正仿宋_GB2312" w:eastAsia="方正仿宋_GB2312" w:hAnsi="方正仿宋_GB2312" w:cs="方正仿宋_GB2312" w:hint="eastAsia"/>
          <w:sz w:val="30"/>
          <w:szCs w:val="30"/>
        </w:rPr>
        <w:t>结论的，学校积极申报但未入选的，</w:t>
      </w:r>
      <w:proofErr w:type="gramStart"/>
      <w:r>
        <w:rPr>
          <w:rFonts w:ascii="方正仿宋_GB2312" w:eastAsia="方正仿宋_GB2312" w:hAnsi="方正仿宋_GB2312" w:cs="方正仿宋_GB2312" w:hint="eastAsia"/>
          <w:sz w:val="30"/>
          <w:szCs w:val="30"/>
        </w:rPr>
        <w:t>赋该考核</w:t>
      </w:r>
      <w:proofErr w:type="gramEnd"/>
      <w:r>
        <w:rPr>
          <w:rFonts w:ascii="方正仿宋_GB2312" w:eastAsia="方正仿宋_GB2312" w:hAnsi="方正仿宋_GB2312" w:cs="方正仿宋_GB2312" w:hint="eastAsia"/>
          <w:sz w:val="30"/>
          <w:szCs w:val="30"/>
        </w:rPr>
        <w:t>点分值的</w:t>
      </w:r>
      <w:r>
        <w:rPr>
          <w:rFonts w:ascii="方正仿宋_GB2312" w:eastAsia="方正仿宋_GB2312" w:hAnsi="方正仿宋_GB2312" w:cs="方正仿宋_GB2312" w:hint="eastAsia"/>
          <w:sz w:val="30"/>
          <w:szCs w:val="30"/>
        </w:rPr>
        <w:t>30%</w:t>
      </w:r>
      <w:r>
        <w:rPr>
          <w:rFonts w:ascii="方正仿宋_GB2312" w:eastAsia="方正仿宋_GB2312" w:hAnsi="方正仿宋_GB2312" w:cs="方正仿宋_GB2312" w:hint="eastAsia"/>
          <w:sz w:val="30"/>
          <w:szCs w:val="30"/>
        </w:rPr>
        <w:t>（相当于三等奖）；</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3. </w:t>
      </w:r>
      <w:r>
        <w:rPr>
          <w:rFonts w:ascii="方正仿宋_GB2312" w:eastAsia="方正仿宋_GB2312" w:hAnsi="方正仿宋_GB2312" w:cs="方正仿宋_GB2312" w:hint="eastAsia"/>
          <w:sz w:val="30"/>
          <w:szCs w:val="30"/>
        </w:rPr>
        <w:t>职能部门层面，要求“完成”的，阶段性完成或因客观因素影响而未完成的，按</w:t>
      </w:r>
      <w:r>
        <w:rPr>
          <w:rFonts w:ascii="方正仿宋_GB2312" w:eastAsia="方正仿宋_GB2312" w:hAnsi="方正仿宋_GB2312" w:cs="方正仿宋_GB2312" w:hint="eastAsia"/>
          <w:sz w:val="30"/>
          <w:szCs w:val="30"/>
        </w:rPr>
        <w:t>50%</w:t>
      </w:r>
      <w:r>
        <w:rPr>
          <w:rFonts w:ascii="方正仿宋_GB2312" w:eastAsia="方正仿宋_GB2312" w:hAnsi="方正仿宋_GB2312" w:cs="方正仿宋_GB2312" w:hint="eastAsia"/>
          <w:sz w:val="30"/>
          <w:szCs w:val="30"/>
        </w:rPr>
        <w:t>赋分；有时间节点并基本完成的，按得分的</w:t>
      </w:r>
      <w:r>
        <w:rPr>
          <w:rFonts w:ascii="方正仿宋_GB2312" w:eastAsia="方正仿宋_GB2312" w:hAnsi="方正仿宋_GB2312" w:cs="方正仿宋_GB2312" w:hint="eastAsia"/>
          <w:sz w:val="30"/>
          <w:szCs w:val="30"/>
        </w:rPr>
        <w:t>90%</w:t>
      </w:r>
      <w:r>
        <w:rPr>
          <w:rFonts w:ascii="方正仿宋_GB2312" w:eastAsia="方正仿宋_GB2312" w:hAnsi="方正仿宋_GB2312" w:cs="方正仿宋_GB2312" w:hint="eastAsia"/>
          <w:sz w:val="30"/>
          <w:szCs w:val="30"/>
        </w:rPr>
        <w:t>折算。</w:t>
      </w:r>
    </w:p>
    <w:p w:rsidR="00511AB3" w:rsidRDefault="000C328C">
      <w:pPr>
        <w:adjustRightInd w:val="0"/>
        <w:snapToGrid w:val="0"/>
        <w:spacing w:line="360" w:lineRule="auto"/>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三</w:t>
      </w:r>
      <w:bookmarkStart w:id="0" w:name="_GoBack"/>
      <w:bookmarkEnd w:id="0"/>
      <w:r>
        <w:rPr>
          <w:rFonts w:ascii="方正黑体_GBK" w:eastAsia="方正黑体_GBK" w:hAnsi="方正黑体_GBK" w:cs="方正黑体_GBK" w:hint="eastAsia"/>
          <w:sz w:val="30"/>
          <w:szCs w:val="30"/>
        </w:rPr>
        <w:t>、</w:t>
      </w:r>
      <w:r>
        <w:rPr>
          <w:rFonts w:ascii="方正黑体_GBK" w:eastAsia="方正黑体_GBK" w:hAnsi="方正黑体_GBK" w:cs="方正黑体_GBK" w:hint="eastAsia"/>
          <w:sz w:val="30"/>
          <w:szCs w:val="30"/>
        </w:rPr>
        <w:t>2022</w:t>
      </w:r>
      <w:r>
        <w:rPr>
          <w:rFonts w:ascii="方正黑体_GBK" w:eastAsia="方正黑体_GBK" w:hAnsi="方正黑体_GBK" w:cs="方正黑体_GBK" w:hint="eastAsia"/>
          <w:sz w:val="30"/>
          <w:szCs w:val="30"/>
        </w:rPr>
        <w:t>年度考核领导小组会议增加</w:t>
      </w:r>
      <w:proofErr w:type="gramStart"/>
      <w:r>
        <w:rPr>
          <w:rFonts w:ascii="方正黑体_GBK" w:eastAsia="方正黑体_GBK" w:hAnsi="方正黑体_GBK" w:cs="方正黑体_GBK" w:hint="eastAsia"/>
          <w:sz w:val="30"/>
          <w:szCs w:val="30"/>
        </w:rPr>
        <w:t>1</w:t>
      </w:r>
      <w:r>
        <w:rPr>
          <w:rFonts w:ascii="方正黑体_GBK" w:eastAsia="方正黑体_GBK" w:hAnsi="方正黑体_GBK" w:cs="方正黑体_GBK" w:hint="eastAsia"/>
          <w:sz w:val="30"/>
          <w:szCs w:val="30"/>
        </w:rPr>
        <w:t>条赋分补充</w:t>
      </w:r>
      <w:proofErr w:type="gramEnd"/>
      <w:r>
        <w:rPr>
          <w:rFonts w:ascii="方正黑体_GBK" w:eastAsia="方正黑体_GBK" w:hAnsi="方正黑体_GBK" w:cs="方正黑体_GBK" w:hint="eastAsia"/>
          <w:sz w:val="30"/>
          <w:szCs w:val="30"/>
        </w:rPr>
        <w:t>说明：</w:t>
      </w:r>
    </w:p>
    <w:p w:rsidR="00511AB3" w:rsidRDefault="000C328C">
      <w:pPr>
        <w:adjustRightInd w:val="0"/>
        <w:snapToGrid w:val="0"/>
        <w:spacing w:line="360" w:lineRule="auto"/>
        <w:ind w:firstLineChars="200" w:firstLine="600"/>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 xml:space="preserve">1. </w:t>
      </w:r>
      <w:r>
        <w:rPr>
          <w:rFonts w:ascii="方正仿宋_GB2312" w:eastAsia="方正仿宋_GB2312" w:hAnsi="方正仿宋_GB2312" w:cs="方正仿宋_GB2312" w:hint="eastAsia"/>
          <w:sz w:val="30"/>
          <w:szCs w:val="30"/>
        </w:rPr>
        <w:t>受客观因素影响，各项准备已做好但未举办的会议或活</w:t>
      </w:r>
      <w:r>
        <w:rPr>
          <w:rFonts w:ascii="方正仿宋_GB2312" w:eastAsia="方正仿宋_GB2312" w:hAnsi="方正仿宋_GB2312" w:cs="方正仿宋_GB2312" w:hint="eastAsia"/>
          <w:sz w:val="30"/>
          <w:szCs w:val="30"/>
        </w:rPr>
        <w:lastRenderedPageBreak/>
        <w:t>动，按照</w:t>
      </w:r>
      <w:r>
        <w:rPr>
          <w:rFonts w:ascii="方正仿宋_GB2312" w:eastAsia="方正仿宋_GB2312" w:hAnsi="方正仿宋_GB2312" w:cs="方正仿宋_GB2312" w:hint="eastAsia"/>
          <w:sz w:val="30"/>
          <w:szCs w:val="30"/>
        </w:rPr>
        <w:t>100%</w:t>
      </w:r>
      <w:r>
        <w:rPr>
          <w:rFonts w:ascii="方正仿宋_GB2312" w:eastAsia="方正仿宋_GB2312" w:hAnsi="方正仿宋_GB2312" w:cs="方正仿宋_GB2312" w:hint="eastAsia"/>
          <w:sz w:val="30"/>
          <w:szCs w:val="30"/>
        </w:rPr>
        <w:t>计分，列入</w:t>
      </w:r>
      <w:r>
        <w:rPr>
          <w:rFonts w:ascii="方正仿宋_GB2312" w:eastAsia="方正仿宋_GB2312" w:hAnsi="方正仿宋_GB2312" w:cs="方正仿宋_GB2312" w:hint="eastAsia"/>
          <w:sz w:val="30"/>
          <w:szCs w:val="30"/>
        </w:rPr>
        <w:t>2023</w:t>
      </w:r>
      <w:r>
        <w:rPr>
          <w:rFonts w:ascii="方正仿宋_GB2312" w:eastAsia="方正仿宋_GB2312" w:hAnsi="方正仿宋_GB2312" w:cs="方正仿宋_GB2312" w:hint="eastAsia"/>
          <w:sz w:val="30"/>
          <w:szCs w:val="30"/>
        </w:rPr>
        <w:t>年工作计划并不赋分，未完成相应扣分。</w:t>
      </w:r>
    </w:p>
    <w:p w:rsidR="00511AB3" w:rsidRDefault="00511AB3">
      <w:pPr>
        <w:spacing w:line="560" w:lineRule="exact"/>
        <w:ind w:firstLineChars="1500" w:firstLine="4800"/>
        <w:jc w:val="left"/>
        <w:rPr>
          <w:rFonts w:ascii="仿宋" w:eastAsia="仿宋" w:hAnsi="仿宋" w:cs="仿宋"/>
          <w:sz w:val="32"/>
          <w:szCs w:val="32"/>
        </w:rPr>
      </w:pPr>
    </w:p>
    <w:p w:rsidR="00511AB3" w:rsidRDefault="00511AB3"/>
    <w:sectPr w:rsidR="00511AB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方正楷体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TkyNDljZGU5MjIwNDY1ZGUzNWVlMDJjNmU2NjAifQ=="/>
  </w:docVars>
  <w:rsids>
    <w:rsidRoot w:val="25733252"/>
    <w:rsid w:val="000C328C"/>
    <w:rsid w:val="00511AB3"/>
    <w:rsid w:val="0E651252"/>
    <w:rsid w:val="18E20015"/>
    <w:rsid w:val="25733252"/>
    <w:rsid w:val="49F20993"/>
    <w:rsid w:val="6145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WPS_1569929113</dc:creator>
  <cp:lastModifiedBy>沈永超</cp:lastModifiedBy>
  <cp:revision>2</cp:revision>
  <dcterms:created xsi:type="dcterms:W3CDTF">2023-12-18T08:22:00Z</dcterms:created>
  <dcterms:modified xsi:type="dcterms:W3CDTF">2023-12-21T08:53:00Z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EC18E286D0A647909FBD5A4BAE3469CE_11</vt:lpwstr>
  </property>
</Properties>
</file>