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15"/>
          <w:szCs w:val="15"/>
        </w:rPr>
      </w:pPr>
      <w:r>
        <w:rPr>
          <w:rFonts w:hint="eastAsia" w:ascii="方正小标宋_GBK" w:eastAsia="方正小标宋_GBK"/>
          <w:sz w:val="44"/>
          <w:szCs w:val="44"/>
          <w:lang w:val="en-US" w:eastAsia="zh-CN"/>
        </w:rPr>
        <w:t>重大事故隐患排查</w:t>
      </w:r>
      <w:r>
        <w:rPr>
          <w:rFonts w:hint="eastAsia" w:ascii="方正小标宋_GBK" w:eastAsia="方正小标宋_GBK"/>
          <w:sz w:val="44"/>
          <w:szCs w:val="44"/>
        </w:rPr>
        <w:t>表</w:t>
      </w:r>
    </w:p>
    <w:p>
      <w:pPr>
        <w:jc w:val="center"/>
        <w:rPr>
          <w:rFonts w:hint="eastAsia" w:ascii="方正小标宋_GBK" w:eastAsia="方正小标宋_GBK"/>
          <w:sz w:val="15"/>
          <w:szCs w:val="15"/>
        </w:rPr>
      </w:pPr>
    </w:p>
    <w:p>
      <w:pPr>
        <w:rPr>
          <w:rFonts w:hint="eastAsia" w:ascii="方正仿宋_GBK" w:eastAsia="方正仿宋_GBK"/>
          <w:sz w:val="28"/>
          <w:szCs w:val="28"/>
        </w:rPr>
      </w:pPr>
      <w:r>
        <w:rPr>
          <w:rFonts w:hint="eastAsia" w:ascii="方正仿宋_GBK" w:eastAsia="方正仿宋_GBK"/>
          <w:sz w:val="28"/>
          <w:szCs w:val="28"/>
          <w:lang w:val="en-US" w:eastAsia="zh-CN"/>
        </w:rPr>
        <w:t>社会单位</w:t>
      </w:r>
      <w:r>
        <w:rPr>
          <w:rFonts w:hint="eastAsia" w:ascii="方正仿宋_GBK" w:eastAsia="方正仿宋_GBK"/>
          <w:sz w:val="28"/>
          <w:szCs w:val="28"/>
        </w:rPr>
        <w:t xml:space="preserve">名称：                </w:t>
      </w:r>
      <w:r>
        <w:rPr>
          <w:rFonts w:hint="eastAsia" w:ascii="方正仿宋_GBK" w:eastAsia="方正仿宋_GBK"/>
          <w:sz w:val="28"/>
          <w:szCs w:val="28"/>
          <w:lang w:val="en-US" w:eastAsia="zh-CN"/>
        </w:rPr>
        <w:t>填报日期</w:t>
      </w:r>
      <w:r>
        <w:rPr>
          <w:rFonts w:hint="eastAsia" w:ascii="方正仿宋_GBK" w:eastAsia="方正仿宋_GBK"/>
          <w:sz w:val="28"/>
          <w:szCs w:val="28"/>
        </w:rPr>
        <w:t>：</w:t>
      </w:r>
    </w:p>
    <w:tbl>
      <w:tblPr>
        <w:tblStyle w:val="14"/>
        <w:tblW w:w="9782"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4401"/>
        <w:gridCol w:w="986"/>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sz w:val="24"/>
                <w:szCs w:val="24"/>
                <w:lang w:val="en-US" w:eastAsia="zh-CN"/>
              </w:rPr>
            </w:pPr>
            <w:r>
              <w:rPr>
                <w:rFonts w:hint="eastAsia" w:ascii="方正仿宋_GBK" w:eastAsia="方正仿宋_GBK"/>
                <w:sz w:val="24"/>
                <w:szCs w:val="24"/>
                <w:lang w:val="en-US" w:eastAsia="zh-CN"/>
              </w:rPr>
              <w:t>重大事故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eastAsia="方正仿宋_GBK"/>
                <w:sz w:val="24"/>
                <w:szCs w:val="24"/>
              </w:rPr>
            </w:pPr>
            <w:r>
              <w:rPr>
                <w:rFonts w:hint="eastAsia" w:ascii="方正仿宋_GBK" w:eastAsia="方正仿宋_GBK"/>
                <w:sz w:val="24"/>
                <w:szCs w:val="24"/>
              </w:rPr>
              <w:t>隐患类别</w:t>
            </w:r>
          </w:p>
        </w:tc>
        <w:tc>
          <w:tcPr>
            <w:tcW w:w="4401" w:type="dxa"/>
            <w:vAlign w:val="center"/>
          </w:tcPr>
          <w:p>
            <w:pPr>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检查内容</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eastAsia="方正仿宋_GBK"/>
                <w:sz w:val="24"/>
                <w:szCs w:val="24"/>
                <w:lang w:val="en-US" w:eastAsia="zh-CN"/>
              </w:rPr>
            </w:pPr>
            <w:r>
              <w:rPr>
                <w:rFonts w:hint="eastAsia" w:ascii="方正仿宋_GBK" w:eastAsia="方正仿宋_GBK"/>
                <w:sz w:val="24"/>
                <w:szCs w:val="24"/>
                <w:lang w:val="en-US" w:eastAsia="zh-CN"/>
              </w:rPr>
              <w:t>是否存在问题</w:t>
            </w:r>
          </w:p>
        </w:tc>
        <w:tc>
          <w:tcPr>
            <w:tcW w:w="3027" w:type="dxa"/>
            <w:vAlign w:val="center"/>
          </w:tcPr>
          <w:p>
            <w:pPr>
              <w:jc w:val="center"/>
              <w:rPr>
                <w:rFonts w:hint="eastAsia" w:ascii="方正仿宋_GBK" w:eastAsia="方正仿宋_GBK"/>
                <w:sz w:val="24"/>
                <w:szCs w:val="24"/>
                <w:lang w:val="en-US" w:eastAsia="zh-CN"/>
              </w:rPr>
            </w:pPr>
            <w:r>
              <w:rPr>
                <w:rFonts w:hint="eastAsia" w:ascii="方正仿宋_GBK" w:eastAsia="方正仿宋_GBK"/>
                <w:sz w:val="24"/>
                <w:szCs w:val="24"/>
              </w:rPr>
              <w:t>问题</w:t>
            </w:r>
            <w:r>
              <w:rPr>
                <w:rFonts w:hint="eastAsia" w:ascii="方正仿宋_GBK" w:eastAsia="方正仿宋_GBK"/>
                <w:sz w:val="24"/>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pPr>
              <w:numPr>
                <w:ilvl w:val="0"/>
                <w:numId w:val="0"/>
              </w:numPr>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rPr>
              <w:t>消防</w:t>
            </w:r>
            <w:r>
              <w:rPr>
                <w:rFonts w:hint="eastAsia" w:ascii="方正仿宋_GBK" w:eastAsia="方正仿宋_GBK"/>
                <w:sz w:val="24"/>
                <w:szCs w:val="24"/>
                <w:lang w:val="en-US" w:eastAsia="zh-CN"/>
              </w:rPr>
              <w:t>重大</w:t>
            </w:r>
          </w:p>
          <w:p>
            <w:pPr>
              <w:numPr>
                <w:ilvl w:val="0"/>
                <w:numId w:val="0"/>
              </w:numPr>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事故隐患</w:t>
            </w: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是否建立健全消防安全工作责任体系，落实各级各岗位人员消防安全责任</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仿宋_GBK" w:eastAsia="方正仿宋_GBK"/>
                <w:sz w:val="24"/>
                <w:szCs w:val="24"/>
              </w:rPr>
            </w:pPr>
          </w:p>
        </w:tc>
        <w:tc>
          <w:tcPr>
            <w:tcW w:w="3027" w:type="dxa"/>
          </w:tcPr>
          <w:p>
            <w:pPr>
              <w:spacing w:line="400" w:lineRule="exact"/>
              <w:rPr>
                <w:rFonts w:hint="eastAsia"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是否在教学楼、图书馆、食堂和集体宿舍等人员密集场所违规使用、储存易燃易爆危险品，或采用彩钢夹芯板搭建</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是否按国家工程建设消防技术标准设置火灾自动报警系统、自动灭火系统、消火栓及防烟排烟系统等，或已设置但不符合标准或不能正常使用的；学生宿舍或午休室是否安装火灾自动报警系统或者具有联网功能的独立式火灾探测报警器</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校内施工实施电焊、气焊、切割、使用喷灯等明火作业是否办理动火审批手续，是否落实现场安全监管</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lang w:val="en-US" w:eastAsia="zh-CN"/>
              </w:rPr>
              <w:t>电动自行车（含电池）是否入楼或私拉乱接电线、飞线充电</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6.校园内人员密集场所是否设置独立的安全出口。</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24"/>
                <w:szCs w:val="24"/>
              </w:rPr>
            </w:pPr>
          </w:p>
        </w:tc>
        <w:tc>
          <w:tcPr>
            <w:tcW w:w="4401" w:type="dxa"/>
          </w:tcPr>
          <w:p>
            <w:pPr>
              <w:spacing w:line="40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7.校园内人员密集场所的门窗是否设置影响逃生和灭火救援的障碍物（包括但不限于外窗被铁栅栏、铁丝网等封堵或被广告牌等遮挡等情形）</w:t>
            </w:r>
          </w:p>
        </w:tc>
        <w:tc>
          <w:tcPr>
            <w:tcW w:w="986" w:type="dxa"/>
          </w:tcPr>
          <w:p>
            <w:pPr>
              <w:spacing w:line="400" w:lineRule="exact"/>
              <w:rPr>
                <w:rFonts w:hint="eastAsia" w:ascii="方正小标宋_GBK" w:eastAsia="方正小标宋_GBK"/>
                <w:sz w:val="24"/>
                <w:szCs w:val="24"/>
              </w:rPr>
            </w:pPr>
          </w:p>
        </w:tc>
        <w:tc>
          <w:tcPr>
            <w:tcW w:w="3027" w:type="dxa"/>
          </w:tcPr>
          <w:p>
            <w:pPr>
              <w:spacing w:line="400" w:lineRule="exact"/>
              <w:rPr>
                <w:rFonts w:hint="eastAsia" w:ascii="方正小标宋_GBK" w:eastAsia="方正小标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pPr>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校舍使用重大事故隐患</w:t>
            </w:r>
          </w:p>
        </w:tc>
        <w:tc>
          <w:tcPr>
            <w:tcW w:w="4401" w:type="dxa"/>
          </w:tcPr>
          <w:p>
            <w:pPr>
              <w:spacing w:line="400" w:lineRule="exact"/>
              <w:rPr>
                <w:rFonts w:hint="default" w:ascii="Times New Roman" w:hAnsi="Times New Roman" w:eastAsia="方正仿宋_GBK" w:cs="Times New Roman"/>
                <w:sz w:val="44"/>
                <w:szCs w:val="44"/>
                <w:lang w:val="en-US" w:eastAsia="zh-CN"/>
              </w:rPr>
            </w:pPr>
            <w:r>
              <w:rPr>
                <w:rFonts w:hint="eastAsia" w:ascii="Times New Roman" w:hAnsi="Times New Roman" w:eastAsia="方正仿宋_GBK" w:cs="Times New Roman"/>
                <w:sz w:val="24"/>
                <w:szCs w:val="24"/>
                <w:lang w:val="en-US" w:eastAsia="zh-CN"/>
              </w:rPr>
              <w:t>1.是否擅自改变学校用房使用功能及用途，违规搭建构筑物、分隔房间。</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是否在校舍屋顶堆放物品或增加设备设施的。</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en-US" w:eastAsia="zh-CN"/>
              </w:rPr>
              <w:t>所辖办公区域阳台、窗台等临边栏杆是否牢固。</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lang w:val="en-US" w:eastAsia="zh-CN"/>
              </w:rPr>
            </w:pPr>
            <w:bookmarkStart w:id="0" w:name="_GoBack"/>
            <w:bookmarkEnd w:id="0"/>
            <w:r>
              <w:rPr>
                <w:rFonts w:hint="eastAsia" w:ascii="Times New Roman" w:hAnsi="Times New Roman" w:eastAsia="方正仿宋_GBK" w:cs="Times New Roman"/>
                <w:sz w:val="24"/>
                <w:szCs w:val="24"/>
                <w:lang w:val="en-US" w:eastAsia="zh-CN"/>
              </w:rPr>
              <w:t>4.体育馆、图书馆、活动中心、食堂、会议室、礼堂等大跨度钢结构建筑是否按要求进行维护保养和安全评估，是否按照规范要求进行屋顶防水维修作业。</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pPr>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食堂重大</w:t>
            </w:r>
          </w:p>
          <w:p>
            <w:pPr>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事故隐患</w:t>
            </w: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学校食堂、承包经营学校食堂的企业、校外供餐单位、食材供应企业是否取得食品经营许可证的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vAlign w:val="center"/>
          </w:tcPr>
          <w:p>
            <w:pPr>
              <w:spacing w:line="400" w:lineRule="exact"/>
              <w:rPr>
                <w:rFonts w:hint="eastAsia" w:ascii="方正仿宋_GBK" w:eastAsia="方正仿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从事接触直接入口食品工作的人员是否取得有效健康证明的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vAlign w:val="center"/>
          </w:tcPr>
          <w:p>
            <w:pPr>
              <w:spacing w:line="400" w:lineRule="exact"/>
              <w:rPr>
                <w:rFonts w:hint="eastAsia" w:ascii="方正仿宋_GBK" w:eastAsia="方正仿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食品及原料进货是否来源不明，是否落实可追溯机制的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vAlign w:val="center"/>
          </w:tcPr>
          <w:p>
            <w:pPr>
              <w:spacing w:line="400" w:lineRule="exact"/>
              <w:rPr>
                <w:rFonts w:hint="eastAsia" w:ascii="方正仿宋_GBK" w:eastAsia="方正仿宋_GBK"/>
                <w:sz w:val="24"/>
                <w:szCs w:val="2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4.</w:t>
            </w:r>
            <w:r>
              <w:rPr>
                <w:rFonts w:hint="eastAsia" w:ascii="Times New Roman" w:hAnsi="Times New Roman" w:eastAsia="方正仿宋_GBK" w:cs="Times New Roman"/>
                <w:sz w:val="24"/>
                <w:szCs w:val="24"/>
                <w:lang w:val="en-US" w:eastAsia="zh-CN"/>
              </w:rPr>
              <w:t>采购是否符合食品安全要求的食品、食品原料和食品添加剂的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食品加工操作是否规范、卫生，造成食品污染</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贮存环境是否符合要求，有否导致食品、食品原料变质或受到污染的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是否按规定贮存、使用食品添加剂的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餐用具是否合格、是否消毒或使用不合格洗涤剂的</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非食堂从业人员未经允许是否能进入食品处理区</w:t>
            </w:r>
            <w:r>
              <w:rPr>
                <w:rFonts w:hint="default" w:ascii="Times New Roman" w:hAnsi="Times New Roman" w:eastAsia="方正仿宋_GBK" w:cs="Times New Roman"/>
                <w:sz w:val="24"/>
                <w:szCs w:val="24"/>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承包经营食堂是否转包、分包</w:t>
            </w:r>
            <w:r>
              <w:rPr>
                <w:rFonts w:hint="default" w:ascii="Times New Roman" w:hAnsi="Times New Roman" w:eastAsia="方正仿宋_GBK" w:cs="Times New Roman"/>
                <w:sz w:val="24"/>
                <w:szCs w:val="24"/>
                <w:lang w:eastAsia="zh-CN"/>
              </w:rPr>
              <w:t>。</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tcBorders/>
          </w:tcPr>
          <w:p>
            <w:pPr>
              <w:spacing w:line="400" w:lineRule="exact"/>
              <w:rPr>
                <w:rFonts w:hint="eastAsia" w:ascii="方正小标宋_GBK" w:eastAsia="方正小标宋_GBK"/>
                <w:sz w:val="44"/>
                <w:szCs w:val="44"/>
              </w:rPr>
            </w:pPr>
          </w:p>
        </w:tc>
        <w:tc>
          <w:tcPr>
            <w:tcW w:w="4401" w:type="dxa"/>
          </w:tcPr>
          <w:p>
            <w:pPr>
              <w:spacing w:line="40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11.是否储存、使用闪点小</w:t>
            </w:r>
            <w:r>
              <w:rPr>
                <w:rFonts w:hint="default" w:ascii="Times New Roman" w:hAnsi="Times New Roman" w:eastAsia="方正仿宋_GBK" w:cs="Times New Roman"/>
                <w:sz w:val="24"/>
                <w:szCs w:val="24"/>
                <w:lang w:val="en-US" w:eastAsia="zh-CN"/>
              </w:rPr>
              <w:t>于60℃的</w:t>
            </w:r>
            <w:r>
              <w:rPr>
                <w:rFonts w:hint="eastAsia" w:ascii="Times New Roman" w:hAnsi="Times New Roman" w:eastAsia="方正仿宋_GBK" w:cs="Times New Roman"/>
                <w:sz w:val="24"/>
                <w:szCs w:val="24"/>
                <w:lang w:val="en-US" w:eastAsia="zh-CN"/>
              </w:rPr>
              <w:t>液体醇基燃料。</w:t>
            </w:r>
          </w:p>
        </w:tc>
        <w:tc>
          <w:tcPr>
            <w:tcW w:w="986" w:type="dxa"/>
          </w:tcPr>
          <w:p>
            <w:pPr>
              <w:spacing w:line="400" w:lineRule="exact"/>
              <w:rPr>
                <w:rFonts w:hint="eastAsia" w:ascii="方正小标宋_GBK" w:eastAsia="方正小标宋_GBK"/>
                <w:sz w:val="44"/>
                <w:szCs w:val="44"/>
              </w:rPr>
            </w:pPr>
          </w:p>
        </w:tc>
        <w:tc>
          <w:tcPr>
            <w:tcW w:w="3027" w:type="dxa"/>
          </w:tcPr>
          <w:p>
            <w:pPr>
              <w:spacing w:line="400" w:lineRule="exact"/>
              <w:rPr>
                <w:rFonts w:hint="eastAsia" w:ascii="方正小标宋_GBK" w:eastAsia="方正小标宋_GBK"/>
                <w:sz w:val="44"/>
                <w:szCs w:val="44"/>
              </w:rPr>
            </w:pPr>
          </w:p>
        </w:tc>
      </w:tr>
    </w:tbl>
    <w:p>
      <w:pPr>
        <w:spacing w:line="400" w:lineRule="exact"/>
        <w:rPr>
          <w:rFonts w:hint="eastAsia" w:ascii="方正仿宋_GBK" w:eastAsia="方正仿宋_GBK"/>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4YjhjOGQ3YTZiYzU3Y2FkNGZhMDQwMmZjYjdlMTIifQ=="/>
  </w:docVars>
  <w:rsids>
    <w:rsidRoot w:val="004B1730"/>
    <w:rsid w:val="00026743"/>
    <w:rsid w:val="00107FD6"/>
    <w:rsid w:val="001A4348"/>
    <w:rsid w:val="001E322D"/>
    <w:rsid w:val="00357C1C"/>
    <w:rsid w:val="003750E9"/>
    <w:rsid w:val="00415283"/>
    <w:rsid w:val="00482BE6"/>
    <w:rsid w:val="00486189"/>
    <w:rsid w:val="004B1730"/>
    <w:rsid w:val="004E303E"/>
    <w:rsid w:val="00500138"/>
    <w:rsid w:val="00520912"/>
    <w:rsid w:val="0053794F"/>
    <w:rsid w:val="006A2FDC"/>
    <w:rsid w:val="007A0A79"/>
    <w:rsid w:val="00871948"/>
    <w:rsid w:val="008D21BE"/>
    <w:rsid w:val="009B2F77"/>
    <w:rsid w:val="009B40FA"/>
    <w:rsid w:val="00A3403C"/>
    <w:rsid w:val="00A608D4"/>
    <w:rsid w:val="00A7218D"/>
    <w:rsid w:val="00AA14BB"/>
    <w:rsid w:val="00B85BA0"/>
    <w:rsid w:val="00BE2F9B"/>
    <w:rsid w:val="00C21D17"/>
    <w:rsid w:val="00C37D6B"/>
    <w:rsid w:val="00C43EBC"/>
    <w:rsid w:val="00CA64B4"/>
    <w:rsid w:val="00CD5A20"/>
    <w:rsid w:val="00CE390C"/>
    <w:rsid w:val="00D610ED"/>
    <w:rsid w:val="00E9634F"/>
    <w:rsid w:val="00F37093"/>
    <w:rsid w:val="00F957C8"/>
    <w:rsid w:val="01981D96"/>
    <w:rsid w:val="02355837"/>
    <w:rsid w:val="064A73D7"/>
    <w:rsid w:val="06DF5D71"/>
    <w:rsid w:val="08123F24"/>
    <w:rsid w:val="0B8E7D66"/>
    <w:rsid w:val="0C2B1A59"/>
    <w:rsid w:val="0E1214FA"/>
    <w:rsid w:val="131336D8"/>
    <w:rsid w:val="135E4FD8"/>
    <w:rsid w:val="15853F88"/>
    <w:rsid w:val="16180D1D"/>
    <w:rsid w:val="16F05D79"/>
    <w:rsid w:val="173739A8"/>
    <w:rsid w:val="17C074F9"/>
    <w:rsid w:val="1BA809D0"/>
    <w:rsid w:val="1C1A3895"/>
    <w:rsid w:val="1C224C26"/>
    <w:rsid w:val="208732AA"/>
    <w:rsid w:val="20976A86"/>
    <w:rsid w:val="21DE4F45"/>
    <w:rsid w:val="228D26CE"/>
    <w:rsid w:val="2298179E"/>
    <w:rsid w:val="261F21D6"/>
    <w:rsid w:val="272B5FC9"/>
    <w:rsid w:val="287700A8"/>
    <w:rsid w:val="288D1679"/>
    <w:rsid w:val="2AED4651"/>
    <w:rsid w:val="2D0B3269"/>
    <w:rsid w:val="2E271C28"/>
    <w:rsid w:val="2EDF7F40"/>
    <w:rsid w:val="2F1A178D"/>
    <w:rsid w:val="2F4862FA"/>
    <w:rsid w:val="303115A2"/>
    <w:rsid w:val="30AF4923"/>
    <w:rsid w:val="313C3C3D"/>
    <w:rsid w:val="318203D5"/>
    <w:rsid w:val="3183186B"/>
    <w:rsid w:val="32786CD9"/>
    <w:rsid w:val="3284589B"/>
    <w:rsid w:val="340D18C0"/>
    <w:rsid w:val="342C072C"/>
    <w:rsid w:val="343706EB"/>
    <w:rsid w:val="35A973C7"/>
    <w:rsid w:val="35CB37E1"/>
    <w:rsid w:val="37A12A4B"/>
    <w:rsid w:val="387737AC"/>
    <w:rsid w:val="38804CCE"/>
    <w:rsid w:val="38E726E0"/>
    <w:rsid w:val="397D3044"/>
    <w:rsid w:val="39E430C3"/>
    <w:rsid w:val="3A9C74FA"/>
    <w:rsid w:val="3C681D8A"/>
    <w:rsid w:val="3EE15E23"/>
    <w:rsid w:val="3F06588A"/>
    <w:rsid w:val="410F1511"/>
    <w:rsid w:val="41933554"/>
    <w:rsid w:val="43CA611A"/>
    <w:rsid w:val="43F839F3"/>
    <w:rsid w:val="443B5FD6"/>
    <w:rsid w:val="44A973E3"/>
    <w:rsid w:val="473A4323"/>
    <w:rsid w:val="49C820BA"/>
    <w:rsid w:val="4B3F5F2B"/>
    <w:rsid w:val="4B6E490B"/>
    <w:rsid w:val="4D722A68"/>
    <w:rsid w:val="4EFD45B3"/>
    <w:rsid w:val="53FF492A"/>
    <w:rsid w:val="542C6DC1"/>
    <w:rsid w:val="5492579E"/>
    <w:rsid w:val="54B12BD7"/>
    <w:rsid w:val="54E3424B"/>
    <w:rsid w:val="54F31508"/>
    <w:rsid w:val="55D06BE1"/>
    <w:rsid w:val="55D52FC4"/>
    <w:rsid w:val="56F278DA"/>
    <w:rsid w:val="578F4217"/>
    <w:rsid w:val="596F6192"/>
    <w:rsid w:val="5B8F795B"/>
    <w:rsid w:val="5C9F4EFC"/>
    <w:rsid w:val="5D7A14C5"/>
    <w:rsid w:val="5DF50B4C"/>
    <w:rsid w:val="612C6F7A"/>
    <w:rsid w:val="61783F6D"/>
    <w:rsid w:val="61AB60F1"/>
    <w:rsid w:val="621F43E9"/>
    <w:rsid w:val="64137F7D"/>
    <w:rsid w:val="651D2E62"/>
    <w:rsid w:val="662F72F1"/>
    <w:rsid w:val="66F95B50"/>
    <w:rsid w:val="671E2DBD"/>
    <w:rsid w:val="6A8B2F63"/>
    <w:rsid w:val="6C5D623A"/>
    <w:rsid w:val="6ED722D3"/>
    <w:rsid w:val="6FA67EF8"/>
    <w:rsid w:val="7096042E"/>
    <w:rsid w:val="7113780F"/>
    <w:rsid w:val="7146344E"/>
    <w:rsid w:val="71A010A2"/>
    <w:rsid w:val="725D3437"/>
    <w:rsid w:val="72DF3E4C"/>
    <w:rsid w:val="73D70FC8"/>
    <w:rsid w:val="74542529"/>
    <w:rsid w:val="74BA06CD"/>
    <w:rsid w:val="754E7922"/>
    <w:rsid w:val="76E75D29"/>
    <w:rsid w:val="77BF424C"/>
    <w:rsid w:val="78BD6C2C"/>
    <w:rsid w:val="79A25BD4"/>
    <w:rsid w:val="7A212F9C"/>
    <w:rsid w:val="7A824BE7"/>
    <w:rsid w:val="7D3E79C1"/>
    <w:rsid w:val="7D7D301D"/>
    <w:rsid w:val="7E7062A0"/>
    <w:rsid w:val="7EA146AC"/>
    <w:rsid w:val="7EDE145C"/>
    <w:rsid w:val="7F74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autoRedefine/>
    <w:semiHidden/>
    <w:qFormat/>
    <w:uiPriority w:val="9"/>
    <w:rPr>
      <w:rFonts w:cstheme="majorBidi"/>
      <w:color w:val="104862" w:themeColor="accent1" w:themeShade="BF"/>
      <w:sz w:val="24"/>
      <w:szCs w:val="24"/>
    </w:rPr>
  </w:style>
  <w:style w:type="character" w:customStyle="1" w:styleId="21">
    <w:name w:val="标题 6 字符"/>
    <w:basedOn w:val="15"/>
    <w:link w:val="7"/>
    <w:autoRedefine/>
    <w:semiHidden/>
    <w:qFormat/>
    <w:uiPriority w:val="9"/>
    <w:rPr>
      <w:rFonts w:cstheme="majorBidi"/>
      <w:b/>
      <w:bCs/>
      <w:color w:val="104862" w:themeColor="accent1" w:themeShade="BF"/>
    </w:rPr>
  </w:style>
  <w:style w:type="character" w:customStyle="1" w:styleId="22">
    <w:name w:val="标题 7 字符"/>
    <w:basedOn w:val="15"/>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autoRedefine/>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autoRedefine/>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autoRedefine/>
    <w:qFormat/>
    <w:uiPriority w:val="34"/>
    <w:pPr>
      <w:ind w:left="720"/>
      <w:contextualSpacing/>
    </w:pPr>
  </w:style>
  <w:style w:type="character" w:customStyle="1" w:styleId="30">
    <w:name w:val="Intense Emphasis"/>
    <w:basedOn w:val="15"/>
    <w:autoRedefine/>
    <w:qFormat/>
    <w:uiPriority w:val="21"/>
    <w:rPr>
      <w:i/>
      <w:iCs/>
      <w:color w:val="104862" w:themeColor="accent1" w:themeShade="BF"/>
    </w:rPr>
  </w:style>
  <w:style w:type="paragraph" w:styleId="31">
    <w:name w:val="Intense Quote"/>
    <w:basedOn w:val="1"/>
    <w:next w:val="1"/>
    <w:link w:val="32"/>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autoRedefine/>
    <w:qFormat/>
    <w:uiPriority w:val="30"/>
    <w:rPr>
      <w:i/>
      <w:iCs/>
      <w:color w:val="104862" w:themeColor="accent1" w:themeShade="BF"/>
    </w:rPr>
  </w:style>
  <w:style w:type="character" w:customStyle="1" w:styleId="33">
    <w:name w:val="Intense Reference"/>
    <w:basedOn w:val="15"/>
    <w:autoRedefine/>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815</Words>
  <Characters>837</Characters>
  <Lines>10</Lines>
  <Paragraphs>2</Paragraphs>
  <TotalTime>0</TotalTime>
  <ScaleCrop>false</ScaleCrop>
  <LinksUpToDate>false</LinksUpToDate>
  <CharactersWithSpaces>854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2024-03-22T02:25:00Z</dcterms:created>
  <dc:creator>耿 耿</dc:creator>
  <cp:lastModifiedBy>李李</cp:lastModifiedBy>
  <cp:lastPrinted>2024-03-22T06:58:00Z</cp:lastPrinted>
  <dcterms:modified xsi:type="dcterms:W3CDTF">2024-09-03T10:04:49Z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9B98C239EEFA47998BC6119BD65406D1_13</vt:lpwstr>
  </property>
</Properties>
</file>